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7C913B" w14:textId="77777777" w:rsidR="0081705B" w:rsidRDefault="00000000">
      <w:pPr>
        <w:pStyle w:val="berschrift1"/>
        <w:numPr>
          <w:ilvl w:val="0"/>
          <w:numId w:val="1"/>
        </w:numPr>
        <w:rPr>
          <w:lang w:val="en-GB"/>
        </w:rPr>
      </w:pPr>
      <w:r>
        <w:rPr>
          <w:lang w:val="en-GB"/>
        </w:rPr>
        <w:t xml:space="preserve">51. </w:t>
      </w:r>
      <w:r>
        <w:rPr>
          <w:lang w:val="de-AT"/>
        </w:rPr>
        <w:t xml:space="preserve">Toni </w:t>
      </w:r>
      <w:proofErr w:type="spellStart"/>
      <w:r>
        <w:rPr>
          <w:lang w:val="de-AT"/>
        </w:rPr>
        <w:t>psalmorum</w:t>
      </w:r>
      <w:proofErr w:type="spellEnd"/>
      <w:r>
        <w:rPr>
          <w:lang w:val="de-AT"/>
        </w:rPr>
        <w:t xml:space="preserve"> (SC P 123)</w:t>
      </w:r>
    </w:p>
    <w:p w14:paraId="42DC3E21" w14:textId="77777777" w:rsidR="0081705B" w:rsidRDefault="00000000">
      <w:pPr>
        <w:pStyle w:val="berschrift2"/>
        <w:rPr>
          <w:szCs w:val="22"/>
          <w:lang w:val="en-GB"/>
        </w:rPr>
      </w:pPr>
      <w:r>
        <w:rPr>
          <w:szCs w:val="22"/>
          <w:lang w:val="en-GB"/>
        </w:rPr>
        <w:t>Text</w:t>
      </w:r>
    </w:p>
    <w:p w14:paraId="521D3973" w14:textId="758148C1" w:rsidR="00D777AC" w:rsidRDefault="00D777AC">
      <w:pPr>
        <w:pStyle w:val="Textkrper"/>
        <w:rPr>
          <w:szCs w:val="22"/>
          <w:lang w:val="en-GB"/>
        </w:rPr>
      </w:pPr>
      <w:r w:rsidRPr="000E547F">
        <w:rPr>
          <w:szCs w:val="22"/>
          <w:lang w:val="en-GB"/>
        </w:rPr>
        <w:t>Notated without text, these</w:t>
      </w:r>
      <w:r>
        <w:rPr>
          <w:szCs w:val="22"/>
          <w:lang w:val="en-GB"/>
        </w:rPr>
        <w:t xml:space="preserve"> </w:t>
      </w:r>
      <w:proofErr w:type="spellStart"/>
      <w:r w:rsidRPr="000E547F">
        <w:rPr>
          <w:i/>
          <w:iCs/>
          <w:szCs w:val="22"/>
          <w:lang w:val="en-GB"/>
        </w:rPr>
        <w:t>falsobordone</w:t>
      </w:r>
      <w:proofErr w:type="spellEnd"/>
      <w:r>
        <w:rPr>
          <w:szCs w:val="22"/>
          <w:lang w:val="en-GB"/>
        </w:rPr>
        <w:t xml:space="preserve"> </w:t>
      </w:r>
      <w:r w:rsidRPr="000E547F">
        <w:rPr>
          <w:szCs w:val="22"/>
          <w:lang w:val="en-GB"/>
        </w:rPr>
        <w:t>settings—</w:t>
      </w:r>
      <w:r>
        <w:rPr>
          <w:szCs w:val="22"/>
          <w:lang w:val="en-GB"/>
        </w:rPr>
        <w:t>and the settings</w:t>
      </w:r>
      <w:r w:rsidRPr="000E547F">
        <w:rPr>
          <w:szCs w:val="22"/>
          <w:lang w:val="en-GB"/>
        </w:rPr>
        <w:t xml:space="preserve"> SC P 12</w:t>
      </w:r>
      <w:r>
        <w:rPr>
          <w:szCs w:val="22"/>
          <w:lang w:val="en-GB"/>
        </w:rPr>
        <w:t>2</w:t>
      </w:r>
      <w:r>
        <w:rPr>
          <w:szCs w:val="22"/>
          <w:lang w:val="en-GB"/>
        </w:rPr>
        <w:t xml:space="preserve"> </w:t>
      </w:r>
      <w:r w:rsidRPr="000E547F">
        <w:rPr>
          <w:szCs w:val="22"/>
          <w:lang w:val="en-GB"/>
        </w:rPr>
        <w:t>(see this volume, no. 5</w:t>
      </w:r>
      <w:r>
        <w:rPr>
          <w:szCs w:val="22"/>
          <w:lang w:val="en-GB"/>
        </w:rPr>
        <w:t>0</w:t>
      </w:r>
      <w:r w:rsidRPr="000E547F">
        <w:rPr>
          <w:szCs w:val="22"/>
          <w:lang w:val="en-GB"/>
        </w:rPr>
        <w:t xml:space="preserve">)—serve as models for any psalm. They are </w:t>
      </w:r>
      <w:proofErr w:type="gramStart"/>
      <w:r w:rsidRPr="000E547F">
        <w:rPr>
          <w:szCs w:val="22"/>
          <w:lang w:val="en-GB"/>
        </w:rPr>
        <w:t>similar to</w:t>
      </w:r>
      <w:proofErr w:type="gramEnd"/>
      <w:r w:rsidRPr="000E547F">
        <w:rPr>
          <w:szCs w:val="22"/>
          <w:lang w:val="en-GB"/>
        </w:rPr>
        <w:t xml:space="preserve"> the</w:t>
      </w:r>
      <w:r>
        <w:rPr>
          <w:szCs w:val="22"/>
          <w:lang w:val="en-GB"/>
        </w:rPr>
        <w:t xml:space="preserve"> </w:t>
      </w:r>
      <w:r w:rsidRPr="000E547F">
        <w:rPr>
          <w:i/>
          <w:iCs/>
          <w:szCs w:val="22"/>
          <w:lang w:val="en-GB"/>
        </w:rPr>
        <w:t xml:space="preserve">Toni </w:t>
      </w:r>
      <w:proofErr w:type="spellStart"/>
      <w:r w:rsidRPr="000E547F">
        <w:rPr>
          <w:i/>
          <w:iCs/>
          <w:szCs w:val="22"/>
          <w:lang w:val="en-GB"/>
        </w:rPr>
        <w:t>psalmorum</w:t>
      </w:r>
      <w:proofErr w:type="spellEnd"/>
      <w:r>
        <w:rPr>
          <w:szCs w:val="22"/>
          <w:lang w:val="en-GB"/>
        </w:rPr>
        <w:t xml:space="preserve"> </w:t>
      </w:r>
      <w:r w:rsidRPr="000E547F">
        <w:rPr>
          <w:szCs w:val="22"/>
          <w:lang w:val="en-GB"/>
        </w:rPr>
        <w:t>(SC P 121, see this volume, no. 49), which provide parallel models using the second stanza of Psalm 112 as an example.</w:t>
      </w:r>
    </w:p>
    <w:p w14:paraId="6EAECCBD" w14:textId="77777777" w:rsidR="0081705B" w:rsidRDefault="00000000">
      <w:pPr>
        <w:pStyle w:val="berschrift2"/>
        <w:rPr>
          <w:szCs w:val="22"/>
          <w:lang w:val="en-GB"/>
        </w:rPr>
      </w:pPr>
      <w:r>
        <w:rPr>
          <w:szCs w:val="22"/>
          <w:lang w:val="en-GB"/>
        </w:rPr>
        <w:t>Cantus firmus</w:t>
      </w:r>
    </w:p>
    <w:p w14:paraId="5D5D5F8B" w14:textId="2AA2B34C" w:rsidR="00D777AC" w:rsidRPr="00D777AC" w:rsidRDefault="00D777AC">
      <w:pPr>
        <w:pStyle w:val="Textkrper"/>
        <w:rPr>
          <w:szCs w:val="22"/>
          <w:lang w:val="en-GB"/>
        </w:rPr>
      </w:pPr>
      <w:r w:rsidRPr="00D777AC">
        <w:rPr>
          <w:szCs w:val="22"/>
          <w:lang w:val="en-GB"/>
        </w:rPr>
        <w:t xml:space="preserve">In </w:t>
      </w:r>
      <w:r w:rsidRPr="00D777AC">
        <w:rPr>
          <w:szCs w:val="22"/>
          <w:lang w:val="en-GB"/>
        </w:rPr>
        <w:t xml:space="preserve">contrast to the </w:t>
      </w:r>
      <w:r w:rsidRPr="00D777AC">
        <w:rPr>
          <w:i/>
          <w:iCs/>
          <w:szCs w:val="22"/>
          <w:lang w:val="en-GB"/>
        </w:rPr>
        <w:t xml:space="preserve">Toni </w:t>
      </w:r>
      <w:proofErr w:type="spellStart"/>
      <w:r w:rsidRPr="00D777AC">
        <w:rPr>
          <w:i/>
          <w:iCs/>
          <w:szCs w:val="22"/>
          <w:lang w:val="en-GB"/>
        </w:rPr>
        <w:t>psalmorum</w:t>
      </w:r>
      <w:proofErr w:type="spellEnd"/>
      <w:r w:rsidRPr="00D777AC">
        <w:rPr>
          <w:i/>
          <w:iCs/>
          <w:szCs w:val="22"/>
          <w:lang w:val="en-GB"/>
        </w:rPr>
        <w:t xml:space="preserve"> </w:t>
      </w:r>
      <w:r w:rsidRPr="00D777AC">
        <w:rPr>
          <w:szCs w:val="22"/>
          <w:lang w:val="en-GB"/>
        </w:rPr>
        <w:t xml:space="preserve">SC P 122, </w:t>
      </w:r>
      <w:r w:rsidRPr="00D777AC">
        <w:rPr>
          <w:szCs w:val="22"/>
          <w:lang w:val="en-GB"/>
        </w:rPr>
        <w:t>the</w:t>
      </w:r>
      <w:r w:rsidRPr="00D777AC">
        <w:rPr>
          <w:szCs w:val="22"/>
          <w:lang w:val="en-GB"/>
        </w:rPr>
        <w:t xml:space="preserve"> </w:t>
      </w:r>
      <w:r w:rsidRPr="00D777AC">
        <w:rPr>
          <w:szCs w:val="22"/>
          <w:lang w:val="en-GB"/>
        </w:rPr>
        <w:t>cantus firmus</w:t>
      </w:r>
      <w:r w:rsidRPr="00D777AC">
        <w:rPr>
          <w:szCs w:val="22"/>
          <w:lang w:val="en-GB"/>
        </w:rPr>
        <w:t xml:space="preserve"> in </w:t>
      </w:r>
      <w:r w:rsidRPr="00D777AC">
        <w:rPr>
          <w:szCs w:val="22"/>
          <w:lang w:val="en-GB"/>
        </w:rPr>
        <w:t>the</w:t>
      </w:r>
      <w:r>
        <w:rPr>
          <w:szCs w:val="22"/>
          <w:lang w:val="en-GB"/>
        </w:rPr>
        <w:t xml:space="preserve"> present</w:t>
      </w:r>
      <w:r w:rsidRPr="00D777AC">
        <w:rPr>
          <w:szCs w:val="22"/>
          <w:lang w:val="en-GB"/>
        </w:rPr>
        <w:t xml:space="preserve"> </w:t>
      </w:r>
      <w:r w:rsidRPr="00D777AC">
        <w:rPr>
          <w:i/>
          <w:iCs/>
          <w:szCs w:val="22"/>
          <w:lang w:val="en-GB"/>
        </w:rPr>
        <w:t xml:space="preserve">Toni </w:t>
      </w:r>
      <w:proofErr w:type="spellStart"/>
      <w:r w:rsidRPr="00D777AC">
        <w:rPr>
          <w:i/>
          <w:iCs/>
          <w:szCs w:val="22"/>
          <w:lang w:val="en-GB"/>
        </w:rPr>
        <w:t>psalmorum</w:t>
      </w:r>
      <w:proofErr w:type="spellEnd"/>
      <w:r w:rsidRPr="00D777AC">
        <w:rPr>
          <w:szCs w:val="22"/>
          <w:lang w:val="en-GB"/>
        </w:rPr>
        <w:t xml:space="preserve"> </w:t>
      </w:r>
      <w:r w:rsidRPr="00D777AC">
        <w:rPr>
          <w:szCs w:val="22"/>
          <w:lang w:val="en-GB"/>
        </w:rPr>
        <w:t>is set in the bassus. They thus supplement Senfl’s two other polyphonic</w:t>
      </w:r>
      <w:r>
        <w:rPr>
          <w:szCs w:val="22"/>
          <w:lang w:val="en-GB"/>
        </w:rPr>
        <w:t xml:space="preserve"> sets of psalm tones</w:t>
      </w:r>
      <w:r w:rsidRPr="00D777AC">
        <w:rPr>
          <w:szCs w:val="22"/>
          <w:lang w:val="en-GB"/>
        </w:rPr>
        <w:t xml:space="preserve"> </w:t>
      </w:r>
      <w:r w:rsidRPr="00D777AC">
        <w:rPr>
          <w:szCs w:val="22"/>
          <w:lang w:val="en-GB"/>
        </w:rPr>
        <w:t xml:space="preserve">(see nos. 49–50 in this volume). </w:t>
      </w:r>
      <w:r>
        <w:rPr>
          <w:szCs w:val="22"/>
          <w:lang w:val="en-GB"/>
        </w:rPr>
        <w:t>For further information concerning psalm tones in contemporary books see the entries there.</w:t>
      </w:r>
    </w:p>
    <w:p w14:paraId="4062869F" w14:textId="77777777" w:rsidR="0081705B" w:rsidRDefault="00000000">
      <w:pPr>
        <w:pStyle w:val="berschrift2"/>
      </w:pPr>
      <w:r>
        <w:rPr>
          <w:lang w:val="en-GB"/>
        </w:rPr>
        <w:t>Unique Source</w:t>
      </w:r>
    </w:p>
    <w:tbl>
      <w:tblPr>
        <w:tblW w:w="8900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809"/>
        <w:gridCol w:w="8091"/>
      </w:tblGrid>
      <w:tr w:rsidR="0081705B" w:rsidRPr="00D777AC" w14:paraId="6A230B56" w14:textId="77777777">
        <w:tc>
          <w:tcPr>
            <w:tcW w:w="809" w:type="dxa"/>
          </w:tcPr>
          <w:p w14:paraId="1ED364D2" w14:textId="77777777" w:rsidR="0081705B" w:rsidRDefault="00000000">
            <w:pPr>
              <w:pStyle w:val="Textkrper"/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Mun</w:t>
            </w:r>
            <w:r>
              <w:rPr>
                <w:b/>
                <w:bCs/>
                <w:vertAlign w:val="superscript"/>
              </w:rPr>
              <w:t>3</w:t>
            </w:r>
          </w:p>
        </w:tc>
        <w:tc>
          <w:tcPr>
            <w:tcW w:w="8090" w:type="dxa"/>
          </w:tcPr>
          <w:p w14:paraId="2ECF84B6" w14:textId="77777777" w:rsidR="0081705B" w:rsidRDefault="00000000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D-</w:t>
            </w:r>
            <w:proofErr w:type="spellStart"/>
            <w:r>
              <w:rPr>
                <w:szCs w:val="22"/>
                <w:lang w:val="en-GB"/>
              </w:rPr>
              <w:t>Mbs</w:t>
            </w:r>
            <w:proofErr w:type="spellEnd"/>
            <w:r>
              <w:rPr>
                <w:szCs w:val="22"/>
                <w:lang w:val="en-GB"/>
              </w:rPr>
              <w:t xml:space="preserve"> </w:t>
            </w:r>
            <w:proofErr w:type="spellStart"/>
            <w:r>
              <w:rPr>
                <w:szCs w:val="22"/>
                <w:lang w:val="en-GB"/>
              </w:rPr>
              <w:t>Mus.ms.</w:t>
            </w:r>
            <w:proofErr w:type="spellEnd"/>
            <w:r>
              <w:rPr>
                <w:szCs w:val="22"/>
                <w:lang w:val="en-GB"/>
              </w:rPr>
              <w:t xml:space="preserve"> 52, [no. 1], fols. 13</w:t>
            </w:r>
            <w:r>
              <w:rPr>
                <w:szCs w:val="22"/>
                <w:vertAlign w:val="superscript"/>
                <w:lang w:val="en-GB"/>
              </w:rPr>
              <w:t>r</w:t>
            </w:r>
            <w:r>
              <w:rPr>
                <w:szCs w:val="22"/>
                <w:lang w:val="en-GB"/>
              </w:rPr>
              <w:t>, 14</w:t>
            </w:r>
            <w:r>
              <w:rPr>
                <w:szCs w:val="22"/>
                <w:vertAlign w:val="superscript"/>
                <w:lang w:val="en-GB"/>
              </w:rPr>
              <w:t>r</w:t>
            </w:r>
            <w:r>
              <w:rPr>
                <w:szCs w:val="22"/>
                <w:lang w:val="en-GB"/>
              </w:rPr>
              <w:t>, 15</w:t>
            </w:r>
            <w:r>
              <w:rPr>
                <w:szCs w:val="22"/>
                <w:vertAlign w:val="superscript"/>
                <w:lang w:val="en-GB"/>
              </w:rPr>
              <w:t>r</w:t>
            </w:r>
            <w:r>
              <w:rPr>
                <w:szCs w:val="22"/>
                <w:lang w:val="en-GB"/>
              </w:rPr>
              <w:t>, 16</w:t>
            </w:r>
            <w:r>
              <w:rPr>
                <w:szCs w:val="22"/>
                <w:vertAlign w:val="superscript"/>
                <w:lang w:val="en-GB"/>
              </w:rPr>
              <w:t>r</w:t>
            </w:r>
            <w:r>
              <w:rPr>
                <w:szCs w:val="22"/>
                <w:lang w:val="en-GB"/>
              </w:rPr>
              <w:t>, 17</w:t>
            </w:r>
            <w:r>
              <w:rPr>
                <w:szCs w:val="22"/>
                <w:vertAlign w:val="superscript"/>
                <w:lang w:val="en-GB"/>
              </w:rPr>
              <w:t>r</w:t>
            </w:r>
            <w:r>
              <w:rPr>
                <w:szCs w:val="22"/>
                <w:lang w:val="en-GB"/>
              </w:rPr>
              <w:t>, 18</w:t>
            </w:r>
            <w:r>
              <w:rPr>
                <w:szCs w:val="22"/>
                <w:vertAlign w:val="superscript"/>
                <w:lang w:val="en-GB"/>
              </w:rPr>
              <w:t>r</w:t>
            </w:r>
            <w:r>
              <w:rPr>
                <w:szCs w:val="22"/>
                <w:lang w:val="en-GB"/>
              </w:rPr>
              <w:t>, 19</w:t>
            </w:r>
            <w:r>
              <w:rPr>
                <w:szCs w:val="22"/>
                <w:vertAlign w:val="superscript"/>
                <w:lang w:val="en-GB"/>
              </w:rPr>
              <w:t>r</w:t>
            </w:r>
            <w:r>
              <w:rPr>
                <w:szCs w:val="22"/>
                <w:lang w:val="en-GB"/>
              </w:rPr>
              <w:t>, 20</w:t>
            </w:r>
            <w:r>
              <w:rPr>
                <w:szCs w:val="22"/>
                <w:vertAlign w:val="superscript"/>
                <w:lang w:val="en-GB"/>
              </w:rPr>
              <w:t>r</w:t>
            </w:r>
            <w:r>
              <w:rPr>
                <w:szCs w:val="22"/>
                <w:lang w:val="en-GB"/>
              </w:rPr>
              <w:t>, (D, Ct, T, B), anon., no text</w:t>
            </w:r>
          </w:p>
        </w:tc>
      </w:tr>
    </w:tbl>
    <w:p w14:paraId="5D76DE8C" w14:textId="77777777" w:rsidR="0081705B" w:rsidRDefault="00000000">
      <w:pPr>
        <w:pStyle w:val="berschrift2"/>
        <w:rPr>
          <w:szCs w:val="22"/>
          <w:lang w:val="en-GB"/>
        </w:rPr>
      </w:pPr>
      <w:r>
        <w:rPr>
          <w:szCs w:val="22"/>
          <w:lang w:val="en-GB"/>
        </w:rPr>
        <w:t>Remarks</w:t>
      </w:r>
    </w:p>
    <w:p w14:paraId="441B0011" w14:textId="1CBDB2BE" w:rsidR="0081705B" w:rsidRDefault="00000000">
      <w:pPr>
        <w:pStyle w:val="Textkrper"/>
        <w:numPr>
          <w:ilvl w:val="0"/>
          <w:numId w:val="2"/>
        </w:numPr>
        <w:rPr>
          <w:szCs w:val="22"/>
          <w:lang w:val="en-GB"/>
        </w:rPr>
      </w:pPr>
      <w:r w:rsidRPr="00D777AC">
        <w:rPr>
          <w:lang w:val="en-GB"/>
        </w:rPr>
        <w:t>In the</w:t>
      </w:r>
      <w:r w:rsidR="00D777AC">
        <w:rPr>
          <w:lang w:val="en-GB"/>
        </w:rPr>
        <w:t xml:space="preserve"> </w:t>
      </w:r>
      <w:r w:rsidR="00D777AC">
        <w:rPr>
          <w:i/>
          <w:iCs/>
          <w:lang w:val="en-GB"/>
        </w:rPr>
        <w:t>Tertius Tonus</w:t>
      </w:r>
      <w:r w:rsidR="00D777AC">
        <w:rPr>
          <w:lang w:val="en-GB"/>
        </w:rPr>
        <w:t xml:space="preserve"> (Ct),</w:t>
      </w:r>
      <w:r w:rsidRPr="00D777AC">
        <w:rPr>
          <w:lang w:val="en-GB"/>
        </w:rPr>
        <w:t xml:space="preserve"> </w:t>
      </w:r>
      <w:r w:rsidRPr="00D777AC">
        <w:rPr>
          <w:i/>
          <w:iCs/>
          <w:lang w:val="en-GB"/>
        </w:rPr>
        <w:t>Sextus Tonus</w:t>
      </w:r>
      <w:r w:rsidRPr="00D777AC">
        <w:rPr>
          <w:lang w:val="en-GB"/>
        </w:rPr>
        <w:t xml:space="preserve"> (D)</w:t>
      </w:r>
      <w:r w:rsidR="00D777AC">
        <w:rPr>
          <w:lang w:val="en-GB"/>
        </w:rPr>
        <w:t>,</w:t>
      </w:r>
      <w:r w:rsidRPr="00D777AC">
        <w:rPr>
          <w:lang w:val="en-GB"/>
        </w:rPr>
        <w:t xml:space="preserve"> and the </w:t>
      </w:r>
      <w:r w:rsidRPr="00D777AC">
        <w:rPr>
          <w:i/>
          <w:iCs/>
          <w:lang w:val="en-GB"/>
        </w:rPr>
        <w:t>Octavus Tonus</w:t>
      </w:r>
      <w:r w:rsidRPr="00D777AC">
        <w:rPr>
          <w:lang w:val="en-GB"/>
        </w:rPr>
        <w:t xml:space="preserve"> (T) second, blackened note heads can be found (as in the edition). They intend an optional addition to the sonority.</w:t>
      </w:r>
    </w:p>
    <w:p w14:paraId="645D2BAB" w14:textId="4787B0AF" w:rsidR="00D777AC" w:rsidRPr="00D777AC" w:rsidRDefault="00D777AC" w:rsidP="00D777AC">
      <w:pPr>
        <w:pStyle w:val="Textkrper"/>
        <w:numPr>
          <w:ilvl w:val="0"/>
          <w:numId w:val="2"/>
        </w:numPr>
        <w:rPr>
          <w:szCs w:val="22"/>
          <w:lang w:val="en-GB"/>
        </w:rPr>
      </w:pPr>
      <w:r>
        <w:rPr>
          <w:szCs w:val="22"/>
          <w:lang w:val="en-GB"/>
        </w:rPr>
        <w:t xml:space="preserve">For further </w:t>
      </w:r>
      <w:proofErr w:type="spellStart"/>
      <w:r w:rsidRPr="009A3383">
        <w:rPr>
          <w:i/>
          <w:iCs/>
          <w:szCs w:val="22"/>
          <w:lang w:val="en-GB"/>
        </w:rPr>
        <w:t>falsobordone</w:t>
      </w:r>
      <w:proofErr w:type="spellEnd"/>
      <w:r>
        <w:rPr>
          <w:szCs w:val="22"/>
          <w:lang w:val="en-GB"/>
        </w:rPr>
        <w:t xml:space="preserve"> settings by Senfl see SC P 120–</w:t>
      </w:r>
      <w:r>
        <w:rPr>
          <w:szCs w:val="22"/>
          <w:lang w:val="en-GB"/>
        </w:rPr>
        <w:t>2</w:t>
      </w:r>
      <w:r>
        <w:rPr>
          <w:szCs w:val="22"/>
          <w:lang w:val="en-GB"/>
        </w:rPr>
        <w:t xml:space="preserve"> (this volume, nos. 48–</w:t>
      </w:r>
      <w:r>
        <w:rPr>
          <w:szCs w:val="22"/>
          <w:lang w:val="en-GB"/>
        </w:rPr>
        <w:t>50</w:t>
      </w:r>
      <w:r>
        <w:rPr>
          <w:szCs w:val="22"/>
          <w:lang w:val="en-GB"/>
        </w:rPr>
        <w:t>) and SC P 124 (this volume, nos. 52).</w:t>
      </w:r>
    </w:p>
    <w:sectPr w:rsidR="00D777AC" w:rsidRPr="00D777AC">
      <w:pgSz w:w="11906" w:h="16838"/>
      <w:pgMar w:top="1417" w:right="1417" w:bottom="1134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font563">
    <w:altName w:val="Cambria"/>
    <w:panose1 w:val="020B0604020202020204"/>
    <w:charset w:val="00"/>
    <w:family w:val="roman"/>
    <w:pitch w:val="default"/>
  </w:font>
  <w:font w:name="Adobe Garamond Pro">
    <w:panose1 w:val="020B0604020202020204"/>
    <w:charset w:val="4D"/>
    <w:family w:val="roman"/>
    <w:notTrueType/>
    <w:pitch w:val="variable"/>
    <w:sig w:usb0="00000007" w:usb1="00000001" w:usb2="00000000" w:usb3="00000000" w:csb0="00000093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Arial Unicode MS"/>
    <w:panose1 w:val="020B0604020202020204"/>
    <w:charset w:val="00"/>
    <w:family w:val="roman"/>
    <w:pitch w:val="variable"/>
  </w:font>
  <w:font w:name="Liberation Sans">
    <w:altName w:val="Arial"/>
    <w:panose1 w:val="020B0604020202020204"/>
    <w:charset w:val="00"/>
    <w:family w:val="swiss"/>
    <w:pitch w:val="variable"/>
  </w:font>
  <w:font w:name="A Garamond Pro">
    <w:altName w:val="Calibri"/>
    <w:panose1 w:val="020B0604020202020204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A7ED7"/>
    <w:multiLevelType w:val="multilevel"/>
    <w:tmpl w:val="BFA6B6B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  <w:lang w:val="en-US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71433F5"/>
    <w:multiLevelType w:val="multilevel"/>
    <w:tmpl w:val="F20090BC"/>
    <w:lvl w:ilvl="0">
      <w:start w:val="1"/>
      <w:numFmt w:val="bullet"/>
      <w:lvlText w:val=""/>
      <w:lvlJc w:val="left"/>
      <w:pPr>
        <w:tabs>
          <w:tab w:val="num" w:pos="0"/>
        </w:tabs>
        <w:ind w:left="363" w:hanging="363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D7F3F49"/>
    <w:multiLevelType w:val="multilevel"/>
    <w:tmpl w:val="259E7DE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5EA642DE"/>
    <w:multiLevelType w:val="multilevel"/>
    <w:tmpl w:val="0BEEE3F8"/>
    <w:lvl w:ilvl="0">
      <w:start w:val="1"/>
      <w:numFmt w:val="bullet"/>
      <w:lvlText w:val=""/>
      <w:lvlJc w:val="left"/>
      <w:pPr>
        <w:tabs>
          <w:tab w:val="num" w:pos="0"/>
        </w:tabs>
        <w:ind w:left="363" w:hanging="363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499274176">
    <w:abstractNumId w:val="0"/>
  </w:num>
  <w:num w:numId="2" w16cid:durableId="423309280">
    <w:abstractNumId w:val="1"/>
  </w:num>
  <w:num w:numId="3" w16cid:durableId="401411607">
    <w:abstractNumId w:val="2"/>
  </w:num>
  <w:num w:numId="4" w16cid:durableId="15431779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51"/>
  <w:embedSystemFonts/>
  <w:proofState w:spelling="clean" w:grammar="clean"/>
  <w:defaultTabStop w:val="284"/>
  <w:autoHyphenation/>
  <w:hyphenationZone w:val="425"/>
  <w:characterSpacingControl w:val="doNotCompress"/>
  <w:compat>
    <w:doNotBreakWrappedTab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705B"/>
    <w:rsid w:val="0081705B"/>
    <w:rsid w:val="00B347E0"/>
    <w:rsid w:val="00D77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9A2B0A3"/>
  <w15:docId w15:val="{4A448119-1198-DC4A-8A0E-9E133EEEE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mbria" w:eastAsia="font563" w:hAnsi="Cambria" w:cs="font563"/>
      <w:sz w:val="24"/>
      <w:szCs w:val="24"/>
      <w:lang w:val="de-DE" w:eastAsia="de-DE"/>
    </w:rPr>
  </w:style>
  <w:style w:type="paragraph" w:styleId="berschrift1">
    <w:name w:val="heading 1"/>
    <w:basedOn w:val="berschriftuser"/>
    <w:next w:val="Textkrper"/>
    <w:qFormat/>
    <w:pPr>
      <w:spacing w:before="0" w:after="283"/>
      <w:outlineLvl w:val="0"/>
    </w:pPr>
    <w:rPr>
      <w:rFonts w:ascii="Adobe Garamond Pro" w:hAnsi="Adobe Garamond Pro"/>
      <w:b/>
      <w:bCs/>
      <w:sz w:val="22"/>
      <w:szCs w:val="36"/>
    </w:rPr>
  </w:style>
  <w:style w:type="paragraph" w:styleId="berschrift2">
    <w:name w:val="heading 2"/>
    <w:basedOn w:val="berschriftuser"/>
    <w:next w:val="Textkrper"/>
    <w:qFormat/>
    <w:pPr>
      <w:spacing w:before="283" w:after="0"/>
      <w:outlineLvl w:val="1"/>
    </w:pPr>
    <w:rPr>
      <w:rFonts w:ascii="Adobe Garamond Pro" w:hAnsi="Adobe Garamond Pro"/>
      <w:b/>
      <w:bCs/>
      <w:sz w:val="22"/>
      <w:szCs w:val="32"/>
    </w:rPr>
  </w:style>
  <w:style w:type="paragraph" w:styleId="berschrift3">
    <w:name w:val="heading 3"/>
    <w:basedOn w:val="berschriftuser"/>
    <w:next w:val="Textkrper"/>
    <w:qFormat/>
    <w:pPr>
      <w:spacing w:before="283" w:after="0"/>
      <w:outlineLvl w:val="2"/>
    </w:pPr>
    <w:rPr>
      <w:rFonts w:ascii="Adobe Garamond Pro" w:hAnsi="Adobe Garamond Pro"/>
      <w:bCs/>
      <w:sz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1">
    <w:name w:val="Absatz-Standardschriftart1"/>
    <w:qFormat/>
  </w:style>
  <w:style w:type="character" w:customStyle="1" w:styleId="KopfzeileZchn">
    <w:name w:val="Kopfzeile Zchn"/>
    <w:basedOn w:val="Absatz-Standardschriftart1"/>
    <w:qFormat/>
  </w:style>
  <w:style w:type="character" w:customStyle="1" w:styleId="FuzeileZchn">
    <w:name w:val="Fußzeile Zchn"/>
    <w:basedOn w:val="Absatz-Standardschriftart1"/>
    <w:qFormat/>
  </w:style>
  <w:style w:type="character" w:customStyle="1" w:styleId="FunotentextZchn">
    <w:name w:val="Fußnotentext Zchn"/>
    <w:basedOn w:val="Absatz-Standardschriftart1"/>
    <w:qFormat/>
    <w:rPr>
      <w:sz w:val="20"/>
      <w:szCs w:val="20"/>
    </w:rPr>
  </w:style>
  <w:style w:type="character" w:customStyle="1" w:styleId="Funotenzeichen1">
    <w:name w:val="Fußnotenzeichen1"/>
    <w:qFormat/>
    <w:rPr>
      <w:vertAlign w:val="superscript"/>
    </w:rPr>
  </w:style>
  <w:style w:type="character" w:styleId="Funotenzeichen">
    <w:name w:val="footnote reference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ufzhlungszeichen1">
    <w:name w:val="Aufzählungszeichen1"/>
    <w:qFormat/>
    <w:rPr>
      <w:rFonts w:ascii="OpenSymbol" w:eastAsia="OpenSymbol" w:hAnsi="OpenSymbol" w:cs="OpenSymbol"/>
    </w:rPr>
  </w:style>
  <w:style w:type="character" w:styleId="Hyperlink">
    <w:name w:val="Hyperlink"/>
    <w:rPr>
      <w:color w:val="000080"/>
      <w:u w:val="single"/>
    </w:rPr>
  </w:style>
  <w:style w:type="character" w:customStyle="1" w:styleId="TextkrperZchn">
    <w:name w:val="Textkörper Zchn"/>
    <w:basedOn w:val="Absatz-Standardschriftart"/>
    <w:link w:val="Textkrper"/>
    <w:qFormat/>
    <w:rsid w:val="00872023"/>
    <w:rPr>
      <w:rFonts w:ascii="Adobe Garamond Pro" w:eastAsia="font563" w:hAnsi="Adobe Garamond Pro" w:cs="font563"/>
      <w:sz w:val="22"/>
      <w:szCs w:val="24"/>
      <w:lang w:val="de-DE" w:eastAsia="de-DE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krper">
    <w:name w:val="Body Text"/>
    <w:basedOn w:val="Standard"/>
    <w:link w:val="TextkrperZchn"/>
    <w:rPr>
      <w:rFonts w:ascii="Adobe Garamond Pro" w:hAnsi="Adobe Garamond Pro"/>
      <w:sz w:val="22"/>
    </w:rPr>
  </w:style>
  <w:style w:type="paragraph" w:styleId="Liste">
    <w:name w:val="List"/>
    <w:basedOn w:val="Textkrper"/>
    <w:rPr>
      <w:rFonts w:cs="Arial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Verzeichnis">
    <w:name w:val="Verzeichnis"/>
    <w:basedOn w:val="Standard"/>
    <w:qFormat/>
    <w:pPr>
      <w:suppressLineNumbers/>
    </w:pPr>
    <w:rPr>
      <w:rFonts w:cs="Arial"/>
    </w:rPr>
  </w:style>
  <w:style w:type="paragraph" w:customStyle="1" w:styleId="berschriftuser">
    <w:name w:val="Überschrift (user)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Verzeichnisuser">
    <w:name w:val="Verzeichnis (user)"/>
    <w:basedOn w:val="Standard"/>
    <w:qFormat/>
    <w:pPr>
      <w:suppressLineNumbers/>
    </w:pPr>
    <w:rPr>
      <w:rFonts w:cs="Arial"/>
    </w:rPr>
  </w:style>
  <w:style w:type="paragraph" w:customStyle="1" w:styleId="Beschriftung1">
    <w:name w:val="Beschriftung1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Kopf-undFuzeile">
    <w:name w:val="Kopf- und Fußzeile"/>
    <w:basedOn w:val="Standard"/>
    <w:qFormat/>
  </w:style>
  <w:style w:type="paragraph" w:customStyle="1" w:styleId="Kopf-Fuzeile">
    <w:name w:val="Kopf-/Fußzeile"/>
    <w:basedOn w:val="Standard"/>
    <w:qFormat/>
  </w:style>
  <w:style w:type="paragraph" w:customStyle="1" w:styleId="Kopf-Fuzeileuser">
    <w:name w:val="Kopf-/Fußzeile (user)"/>
    <w:basedOn w:val="Standard"/>
    <w:qFormat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Listenabsatz1">
    <w:name w:val="Listenabsatz1"/>
    <w:qFormat/>
    <w:pPr>
      <w:spacing w:after="60" w:line="320" w:lineRule="exact"/>
      <w:ind w:left="720"/>
    </w:pPr>
    <w:rPr>
      <w:rFonts w:ascii="Cambria" w:eastAsia="Cambria" w:hAnsi="Cambria" w:cs="Cambria"/>
      <w:color w:val="000000"/>
      <w:sz w:val="24"/>
      <w:szCs w:val="24"/>
      <w:u w:color="000000"/>
      <w:lang w:val="de-DE" w:eastAsia="en-US"/>
    </w:rPr>
  </w:style>
  <w:style w:type="paragraph" w:styleId="Funotentext">
    <w:name w:val="footnote text"/>
    <w:basedOn w:val="Standard"/>
    <w:rPr>
      <w:sz w:val="20"/>
      <w:szCs w:val="20"/>
    </w:rPr>
  </w:style>
  <w:style w:type="paragraph" w:customStyle="1" w:styleId="Tabelleninhaltuser">
    <w:name w:val="Tabelleninhalt (user)"/>
    <w:basedOn w:val="Standard"/>
    <w:qFormat/>
    <w:pPr>
      <w:widowControl w:val="0"/>
      <w:suppressLineNumbers/>
    </w:pPr>
  </w:style>
  <w:style w:type="paragraph" w:customStyle="1" w:styleId="Tabellenberschriftuser">
    <w:name w:val="Tabellenüberschrift (user)"/>
    <w:basedOn w:val="Tabelleninhaltuser"/>
    <w:qFormat/>
    <w:pPr>
      <w:jc w:val="center"/>
    </w:pPr>
    <w:rPr>
      <w:b/>
      <w:bCs/>
    </w:rPr>
  </w:style>
  <w:style w:type="paragraph" w:styleId="StandardWeb">
    <w:name w:val="Normal (Web)"/>
    <w:basedOn w:val="Standard"/>
    <w:uiPriority w:val="99"/>
    <w:unhideWhenUsed/>
    <w:qFormat/>
    <w:rsid w:val="00872023"/>
    <w:pPr>
      <w:suppressAutoHyphens w:val="0"/>
      <w:spacing w:beforeAutospacing="1" w:afterAutospacing="1"/>
    </w:pPr>
    <w:rPr>
      <w:rFonts w:ascii="Times New Roman" w:eastAsia="Times New Roman" w:hAnsi="Times New Roman" w:cs="Times New Roman"/>
      <w:lang w:val="de-AT"/>
    </w:rPr>
  </w:style>
  <w:style w:type="paragraph" w:customStyle="1" w:styleId="Default">
    <w:name w:val="Default"/>
    <w:qFormat/>
    <w:rPr>
      <w:rFonts w:ascii="A Garamond Pro" w:hAnsi="A Garamond Pro"/>
      <w:color w:val="000000"/>
      <w:sz w:val="24"/>
    </w:rPr>
  </w:style>
  <w:style w:type="table" w:styleId="Tabellenraster">
    <w:name w:val="Table Grid"/>
    <w:basedOn w:val="NormaleTabelle"/>
    <w:uiPriority w:val="59"/>
    <w:rsid w:val="00872023"/>
    <w:rPr>
      <w:rFonts w:asciiTheme="minorHAnsi" w:eastAsiaTheme="minorEastAsia" w:hAnsiTheme="minorHAnsi" w:cstheme="minorBidi"/>
      <w:szCs w:val="24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148</Words>
  <Characters>937</Characters>
  <Application>Microsoft Office Word</Application>
  <DocSecurity>0</DocSecurity>
  <Lines>7</Lines>
  <Paragraphs>2</Paragraphs>
  <ScaleCrop>false</ScaleCrop>
  <Company/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Stefan Gasch</cp:lastModifiedBy>
  <cp:revision>67</cp:revision>
  <cp:lastPrinted>2025-03-07T17:43:00Z</cp:lastPrinted>
  <dcterms:created xsi:type="dcterms:W3CDTF">2025-04-02T16:23:00Z</dcterms:created>
  <dcterms:modified xsi:type="dcterms:W3CDTF">2025-09-04T08:59:00Z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